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FE" w:rsidRPr="00D625A6" w:rsidRDefault="008562F9" w:rsidP="007F6F38">
      <w:pPr>
        <w:spacing w:before="100" w:beforeAutospacing="1" w:after="100" w:afterAutospacing="1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625A6">
        <w:rPr>
          <w:rFonts w:ascii="Arial" w:hAnsi="Arial" w:cs="Arial"/>
          <w:sz w:val="24"/>
          <w:szCs w:val="24"/>
        </w:rPr>
        <w:t xml:space="preserve">Mérida, </w:t>
      </w:r>
      <w:r w:rsidR="007F6F38" w:rsidRPr="00D625A6">
        <w:rPr>
          <w:rFonts w:ascii="Arial" w:hAnsi="Arial" w:cs="Arial"/>
          <w:sz w:val="24"/>
          <w:szCs w:val="24"/>
        </w:rPr>
        <w:t>Yucatán</w:t>
      </w:r>
      <w:r w:rsidR="007F6F38" w:rsidRPr="008C0908">
        <w:rPr>
          <w:rFonts w:ascii="Arial" w:hAnsi="Arial" w:cs="Arial"/>
          <w:sz w:val="24"/>
          <w:szCs w:val="24"/>
        </w:rPr>
        <w:t xml:space="preserve">, </w:t>
      </w:r>
      <w:r w:rsidRPr="008C0908">
        <w:rPr>
          <w:rFonts w:ascii="Arial" w:hAnsi="Arial" w:cs="Arial"/>
          <w:sz w:val="24"/>
          <w:szCs w:val="24"/>
        </w:rPr>
        <w:t xml:space="preserve">a </w:t>
      </w:r>
      <w:r w:rsidR="005974F0">
        <w:rPr>
          <w:rFonts w:ascii="Arial" w:hAnsi="Arial" w:cs="Arial"/>
          <w:sz w:val="24"/>
          <w:szCs w:val="24"/>
        </w:rPr>
        <w:t>17</w:t>
      </w:r>
      <w:r w:rsidRPr="008C0908">
        <w:rPr>
          <w:rFonts w:ascii="Arial" w:hAnsi="Arial" w:cs="Arial"/>
          <w:sz w:val="24"/>
          <w:szCs w:val="24"/>
        </w:rPr>
        <w:t xml:space="preserve"> de </w:t>
      </w:r>
      <w:r w:rsidR="00D625A6" w:rsidRPr="008C0908">
        <w:rPr>
          <w:rFonts w:ascii="Arial" w:hAnsi="Arial" w:cs="Arial"/>
          <w:sz w:val="24"/>
          <w:szCs w:val="24"/>
        </w:rPr>
        <w:t>noviembre</w:t>
      </w:r>
      <w:r w:rsidR="00E357D3">
        <w:rPr>
          <w:rFonts w:ascii="Arial" w:hAnsi="Arial" w:cs="Arial"/>
          <w:sz w:val="24"/>
          <w:szCs w:val="24"/>
        </w:rPr>
        <w:t xml:space="preserve"> de 2022</w:t>
      </w:r>
    </w:p>
    <w:p w:rsidR="008562F9" w:rsidRPr="00D625A6" w:rsidRDefault="008562F9" w:rsidP="007F6F38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25A6">
        <w:rPr>
          <w:rFonts w:ascii="Arial" w:hAnsi="Arial" w:cs="Arial"/>
          <w:b/>
          <w:sz w:val="24"/>
          <w:szCs w:val="24"/>
        </w:rPr>
        <w:t>H. Congreso del Estado de Yucatán:</w:t>
      </w:r>
    </w:p>
    <w:p w:rsidR="008562F9" w:rsidRPr="00D625A6" w:rsidRDefault="008562F9" w:rsidP="00E42FC7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25A6">
        <w:rPr>
          <w:rFonts w:ascii="Arial" w:hAnsi="Arial" w:cs="Arial"/>
          <w:b/>
          <w:sz w:val="24"/>
          <w:szCs w:val="24"/>
        </w:rPr>
        <w:t xml:space="preserve">Iniciativa de Decreto por el que se autoriza la donación de </w:t>
      </w:r>
      <w:r w:rsidR="00E92C4C" w:rsidRPr="00D625A6">
        <w:rPr>
          <w:rFonts w:ascii="Arial" w:hAnsi="Arial" w:cs="Arial"/>
          <w:b/>
          <w:sz w:val="24"/>
          <w:szCs w:val="24"/>
        </w:rPr>
        <w:t>un bien inmueble</w:t>
      </w:r>
      <w:r w:rsidRPr="00D625A6">
        <w:rPr>
          <w:rFonts w:ascii="Arial" w:hAnsi="Arial" w:cs="Arial"/>
          <w:b/>
          <w:sz w:val="24"/>
          <w:szCs w:val="24"/>
        </w:rPr>
        <w:t xml:space="preserve"> del patrimonio estatal a favor del Instituto </w:t>
      </w:r>
      <w:r w:rsidR="00E92C4C" w:rsidRPr="00D625A6">
        <w:rPr>
          <w:rFonts w:ascii="Arial" w:hAnsi="Arial" w:cs="Arial"/>
          <w:b/>
          <w:sz w:val="24"/>
          <w:szCs w:val="24"/>
        </w:rPr>
        <w:t>de Salud para el Bienestar</w:t>
      </w:r>
    </w:p>
    <w:p w:rsidR="00616716" w:rsidRPr="00D625A6" w:rsidRDefault="00616716" w:rsidP="00E42FC7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25A6">
        <w:rPr>
          <w:rFonts w:ascii="Arial" w:hAnsi="Arial" w:cs="Arial"/>
          <w:b/>
          <w:sz w:val="24"/>
          <w:szCs w:val="24"/>
        </w:rPr>
        <w:t>Exposición de motivos</w:t>
      </w:r>
    </w:p>
    <w:p w:rsidR="008562F9" w:rsidRPr="00D625A6" w:rsidRDefault="007F6F38" w:rsidP="007F6F3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625A6">
        <w:rPr>
          <w:rFonts w:ascii="Arial" w:hAnsi="Arial" w:cs="Arial"/>
          <w:sz w:val="24"/>
          <w:szCs w:val="24"/>
        </w:rPr>
        <w:t>Las instituciones públicas requieren de recursos humanos, financieros, materiales y tecnológicos para entregar los bienes y prestar los servicios que, en conjunto, contribuyan a satisfacer las demandas y necesidades sociales.</w:t>
      </w:r>
    </w:p>
    <w:p w:rsidR="007F6F38" w:rsidRPr="00D625A6" w:rsidRDefault="007F6F38" w:rsidP="007F6F3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625A6">
        <w:rPr>
          <w:rFonts w:ascii="Arial" w:hAnsi="Arial" w:cs="Arial"/>
          <w:sz w:val="24"/>
          <w:szCs w:val="24"/>
        </w:rPr>
        <w:t xml:space="preserve">La Ley de Bienes del Estado de Yucatán es la norma jurídica vigente que regula </w:t>
      </w:r>
      <w:r w:rsidR="00D52837" w:rsidRPr="00D625A6">
        <w:rPr>
          <w:rFonts w:ascii="Arial" w:hAnsi="Arial" w:cs="Arial"/>
          <w:sz w:val="24"/>
          <w:szCs w:val="24"/>
        </w:rPr>
        <w:t>el régimen del conjunto de bienes e inmuebles que integran el pa</w:t>
      </w:r>
      <w:r w:rsidR="00F82C28" w:rsidRPr="00D625A6">
        <w:rPr>
          <w:rFonts w:ascii="Arial" w:hAnsi="Arial" w:cs="Arial"/>
          <w:sz w:val="24"/>
          <w:szCs w:val="24"/>
        </w:rPr>
        <w:t xml:space="preserve">trimonio del estado de Yucatán </w:t>
      </w:r>
      <w:r w:rsidR="00D52837" w:rsidRPr="00D625A6">
        <w:rPr>
          <w:rFonts w:ascii="Arial" w:hAnsi="Arial" w:cs="Arial"/>
          <w:sz w:val="24"/>
          <w:szCs w:val="24"/>
        </w:rPr>
        <w:t xml:space="preserve">y sus municipios, así como los derechos y obligaciones derivados de esta propiedad y su forma de adquisición o </w:t>
      </w:r>
      <w:r w:rsidR="00F82C28" w:rsidRPr="00D625A6">
        <w:rPr>
          <w:rFonts w:ascii="Arial" w:hAnsi="Arial" w:cs="Arial"/>
          <w:sz w:val="24"/>
          <w:szCs w:val="24"/>
        </w:rPr>
        <w:t>asignación</w:t>
      </w:r>
      <w:r w:rsidR="00D52837" w:rsidRPr="00D625A6">
        <w:rPr>
          <w:rFonts w:ascii="Arial" w:hAnsi="Arial" w:cs="Arial"/>
          <w:sz w:val="24"/>
          <w:szCs w:val="24"/>
        </w:rPr>
        <w:t>.</w:t>
      </w:r>
    </w:p>
    <w:p w:rsidR="007F6F38" w:rsidRPr="00D625A6" w:rsidRDefault="007F6F38" w:rsidP="007F6F3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625A6">
        <w:rPr>
          <w:rFonts w:ascii="Arial" w:hAnsi="Arial" w:cs="Arial"/>
          <w:sz w:val="24"/>
          <w:szCs w:val="24"/>
        </w:rPr>
        <w:t>En este sentido, el patrimonio estatal, de conformidad con el artículo 15 de la ley referida, está integrado por el conjunto de bienes de dominio público y de dominio privado, cuya propiedad pertenece a los poderes Ejecutivo, Legislativo y Judicial; a los organismos constitucionales autónomos, y a los municipios de la entidad.</w:t>
      </w:r>
    </w:p>
    <w:p w:rsidR="007F6F38" w:rsidRPr="00D625A6" w:rsidRDefault="007F6F38" w:rsidP="007F6F3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625A6">
        <w:rPr>
          <w:rFonts w:ascii="Arial" w:hAnsi="Arial" w:cs="Arial"/>
          <w:sz w:val="24"/>
          <w:szCs w:val="24"/>
        </w:rPr>
        <w:t>Así, esta ley determina, en términos de sus artículos 16 y 28, que los bienes de dominio público son, entre otros, los que están destinados para el uso común o la prestación de un servicio público, y que los bienes del dominio privado son aquellos que, aún siendo propiedad del estado o de los municipios, no están afectos a tales destinos.</w:t>
      </w:r>
    </w:p>
    <w:p w:rsidR="00636C2D" w:rsidRPr="00D625A6" w:rsidRDefault="0034182C" w:rsidP="009072C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625A6">
        <w:rPr>
          <w:rFonts w:ascii="Arial" w:hAnsi="Arial" w:cs="Arial"/>
          <w:sz w:val="24"/>
          <w:szCs w:val="24"/>
        </w:rPr>
        <w:t xml:space="preserve">Por su parte, la fracción I del apartado B del artículo 13 de la Ley General de Salud dispone </w:t>
      </w:r>
      <w:r w:rsidR="009072CA" w:rsidRPr="00D625A6">
        <w:rPr>
          <w:rFonts w:ascii="Arial" w:hAnsi="Arial" w:cs="Arial"/>
          <w:sz w:val="24"/>
          <w:szCs w:val="24"/>
        </w:rPr>
        <w:t>que corresponde a los gobiernos de las entidades federativas, en materia de salubridad general, como autoridades locales y dentro de sus respectivas jurisdicciones territoriales el organiza</w:t>
      </w:r>
      <w:r w:rsidR="00636C2D" w:rsidRPr="00D625A6">
        <w:rPr>
          <w:rFonts w:ascii="Arial" w:hAnsi="Arial" w:cs="Arial"/>
          <w:sz w:val="24"/>
          <w:szCs w:val="24"/>
        </w:rPr>
        <w:t>r, operar, supervisar y evaluar, entre otros, la prestación gratuita de servicios de salud, medicamentos y demás insumos asociados para la personas sin seguridad social.</w:t>
      </w:r>
    </w:p>
    <w:p w:rsidR="009072CA" w:rsidRPr="00D625A6" w:rsidRDefault="009072CA" w:rsidP="009072C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625A6">
        <w:rPr>
          <w:rFonts w:ascii="Arial" w:hAnsi="Arial" w:cs="Arial"/>
          <w:sz w:val="24"/>
          <w:szCs w:val="24"/>
        </w:rPr>
        <w:t>En ese sentido, el 17 de febrero de 2020, la Secretaría de Salud del Gobierno Federal, el Instituto de Salud para el Bienestar y el Gobierno del Es</w:t>
      </w:r>
      <w:r w:rsidR="00783442">
        <w:rPr>
          <w:rFonts w:ascii="Arial" w:hAnsi="Arial" w:cs="Arial"/>
          <w:sz w:val="24"/>
          <w:szCs w:val="24"/>
        </w:rPr>
        <w:t>tado de Yucatán, suscribiero</w:t>
      </w:r>
      <w:r w:rsidR="00783442" w:rsidRPr="00D625A6">
        <w:rPr>
          <w:rFonts w:ascii="Arial" w:hAnsi="Arial" w:cs="Arial"/>
          <w:sz w:val="24"/>
          <w:szCs w:val="24"/>
        </w:rPr>
        <w:t>n</w:t>
      </w:r>
      <w:r w:rsidRPr="00D625A6">
        <w:rPr>
          <w:rFonts w:ascii="Arial" w:hAnsi="Arial" w:cs="Arial"/>
          <w:sz w:val="24"/>
          <w:szCs w:val="24"/>
        </w:rPr>
        <w:t xml:space="preserve"> el Acuerdo de Coordinación para garantizar la prestación de servicios de salud, medicamentos y demás insumos asociados para las personas </w:t>
      </w:r>
      <w:r w:rsidR="003D37B6" w:rsidRPr="00D625A6">
        <w:rPr>
          <w:rFonts w:ascii="Arial" w:hAnsi="Arial" w:cs="Arial"/>
          <w:sz w:val="24"/>
          <w:szCs w:val="24"/>
        </w:rPr>
        <w:t xml:space="preserve">sin </w:t>
      </w:r>
      <w:r w:rsidR="003D37B6" w:rsidRPr="00D625A6">
        <w:rPr>
          <w:rFonts w:ascii="Arial" w:hAnsi="Arial" w:cs="Arial"/>
          <w:sz w:val="24"/>
          <w:szCs w:val="24"/>
        </w:rPr>
        <w:lastRenderedPageBreak/>
        <w:t>seguridad social en los términos previstos en el Titulo Tercero Bis de la Ley General de Salud.</w:t>
      </w:r>
    </w:p>
    <w:p w:rsidR="003D37B6" w:rsidRPr="00D625A6" w:rsidRDefault="003D37B6" w:rsidP="009072CA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625A6">
        <w:rPr>
          <w:rFonts w:ascii="Arial" w:hAnsi="Arial" w:cs="Arial"/>
          <w:sz w:val="24"/>
          <w:szCs w:val="24"/>
        </w:rPr>
        <w:t>En ese orden de ideas, el 10 de diciembre de 2020 el Instituto de Salud para el Bienestar y el Gobierno</w:t>
      </w:r>
      <w:r w:rsidR="00F82C28" w:rsidRPr="00D625A6">
        <w:rPr>
          <w:rFonts w:ascii="Arial" w:hAnsi="Arial" w:cs="Arial"/>
          <w:sz w:val="24"/>
          <w:szCs w:val="24"/>
        </w:rPr>
        <w:t xml:space="preserve"> del Estado de Yucatán celebraron</w:t>
      </w:r>
      <w:r w:rsidRPr="00D625A6">
        <w:rPr>
          <w:rFonts w:ascii="Arial" w:hAnsi="Arial" w:cs="Arial"/>
          <w:sz w:val="24"/>
          <w:szCs w:val="24"/>
        </w:rPr>
        <w:t xml:space="preserve"> un Convenio de colaboración para la operación del Hospital General de Tekax, Yucatán, el cual tiene como objeto, entre otros, otorgar al Instituto de Salud para el Bienestar</w:t>
      </w:r>
      <w:r w:rsidR="007024C6" w:rsidRPr="00D625A6">
        <w:rPr>
          <w:rFonts w:ascii="Arial" w:hAnsi="Arial" w:cs="Arial"/>
          <w:sz w:val="24"/>
          <w:szCs w:val="24"/>
        </w:rPr>
        <w:t>, a título gratuito, la posesión del Hospital General de Tekax</w:t>
      </w:r>
      <w:r w:rsidR="003B28F3" w:rsidRPr="00D625A6">
        <w:rPr>
          <w:rFonts w:ascii="Arial" w:hAnsi="Arial" w:cs="Arial"/>
          <w:sz w:val="24"/>
          <w:szCs w:val="24"/>
        </w:rPr>
        <w:t>; donar al Instituto de Salud para el Bienestar el mobiliario, equipo médico y demás insumos con los que cuente la referida unidad médica, a efecto de que este último lo destine, con cargo a sus recursos disponibles, a la prestación gratuita de los servicios de salud, medicamentos y demás insumos asociados para las personas sin seguridad social correspondientes exclusivamente al primer y segundo nivel de atención; y en un término de seis meses, contado a parti</w:t>
      </w:r>
      <w:r w:rsidR="00FA473A" w:rsidRPr="00D625A6">
        <w:rPr>
          <w:rFonts w:ascii="Arial" w:hAnsi="Arial" w:cs="Arial"/>
          <w:sz w:val="24"/>
          <w:szCs w:val="24"/>
        </w:rPr>
        <w:t>r</w:t>
      </w:r>
      <w:r w:rsidR="003B28F3" w:rsidRPr="00D625A6">
        <w:rPr>
          <w:rFonts w:ascii="Arial" w:hAnsi="Arial" w:cs="Arial"/>
          <w:sz w:val="24"/>
          <w:szCs w:val="24"/>
        </w:rPr>
        <w:t xml:space="preserve"> de la suscripción de dicho convenio de colaboración, y con estricto apego a las disposiciones jurídicas aplicables en el estado de Yucatán, formalice ante el Poder Legislativo del estado, la solicitud de donación del Hospital General de Tekax, Yucatán, a favor del Instituto de Salud para el Bienestar.</w:t>
      </w:r>
    </w:p>
    <w:p w:rsidR="00D625A6" w:rsidRPr="00D625A6" w:rsidRDefault="00D625A6" w:rsidP="00D625A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625A6">
        <w:rPr>
          <w:rFonts w:ascii="Arial" w:hAnsi="Arial" w:cs="Arial"/>
          <w:sz w:val="24"/>
        </w:rPr>
        <w:t xml:space="preserve">Finalmente, la secretaria de Administración y Finanzas, Lic. Olga Rosas Moya, en cumplimiento del artículo 50 de la Ley de Bienes del Estado de Yucatán y en ejercicio de la facultad prevista en su artículo 8, fracción III, que le fue delegada por el gobernador mediante el Acuerdo 4/2018, publicado en el Diario Oficial del Gobierno del Estado de Yucatán el 11 de enero de 2019, para efectuar actos de desincorporación de bienes muebles o inmuebles del patrimonio estatal, expidió el </w:t>
      </w:r>
      <w:r w:rsidRPr="00D625A6">
        <w:rPr>
          <w:rFonts w:ascii="Arial" w:hAnsi="Arial" w:cs="Arial"/>
          <w:sz w:val="24"/>
          <w:szCs w:val="24"/>
        </w:rPr>
        <w:t>Acuerdo SAF 57/2022 por el que se declara desincorporado un bien inmueble propiedad del Gobierno del Estado de Yucatán</w:t>
      </w:r>
      <w:r w:rsidRPr="00D625A6">
        <w:rPr>
          <w:rFonts w:ascii="Arial" w:hAnsi="Arial" w:cs="Arial"/>
          <w:sz w:val="24"/>
        </w:rPr>
        <w:t xml:space="preserve">, publicado en el Diario Oficial del Gobierno del Estado de </w:t>
      </w:r>
      <w:r w:rsidRPr="008C0908">
        <w:rPr>
          <w:rFonts w:ascii="Arial" w:hAnsi="Arial" w:cs="Arial"/>
          <w:sz w:val="24"/>
        </w:rPr>
        <w:t>Yucatán el 14 de noviembre de 2022.</w:t>
      </w:r>
    </w:p>
    <w:p w:rsidR="002E089D" w:rsidRDefault="002930EE" w:rsidP="002E089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625A6">
        <w:rPr>
          <w:rFonts w:ascii="Arial" w:hAnsi="Arial" w:cs="Arial"/>
          <w:sz w:val="24"/>
          <w:szCs w:val="24"/>
        </w:rPr>
        <w:t xml:space="preserve">Al respecto, el bien inmueble propiedad del Gobierno del estado </w:t>
      </w:r>
      <w:r w:rsidR="00A62B2D" w:rsidRPr="00D625A6">
        <w:rPr>
          <w:rFonts w:ascii="Arial" w:hAnsi="Arial" w:cs="Arial"/>
          <w:sz w:val="24"/>
          <w:szCs w:val="24"/>
        </w:rPr>
        <w:t xml:space="preserve">que este ha decidido donar, </w:t>
      </w:r>
      <w:r w:rsidRPr="00D625A6">
        <w:rPr>
          <w:rFonts w:ascii="Arial" w:hAnsi="Arial" w:cs="Arial"/>
          <w:sz w:val="24"/>
          <w:szCs w:val="24"/>
        </w:rPr>
        <w:t xml:space="preserve">corresponde al </w:t>
      </w:r>
      <w:r w:rsidR="002E089D">
        <w:rPr>
          <w:rFonts w:ascii="Arial" w:eastAsia="Times New Roman" w:hAnsi="Arial" w:cs="Arial"/>
          <w:sz w:val="24"/>
          <w:szCs w:val="24"/>
        </w:rPr>
        <w:t xml:space="preserve">tablaje ubicado en la localidad y municipio de Tekax, marcado con el número tres mil setecientos nueve, con una superficie de dos hectáreas diez áreas setenta y siete centiáreas setenta y tres milésimas de centiáreas, de figura irregular, que se describe como sigue en el plano global: partiendo de la estación número veintitrés punto uno hacia la estación número veintitrés punto dos rumbo astronómico norte cuarenta y un grados cuarenta y siete minutos cincuenta y cinco segundos este, mide ciento setenta y un metros setenta y siete centímetros; de aquí a la estación número veintitrés punto tres rumbo astronómico sur cuarenta y ocho grados veintidós minutos trece segundos este, mide ciento veintitrés metros trescientos dos milímetros; de aquí a la estación número veinticuatro punto uno rumbo astronómico sur cuarenta y un grados </w:t>
      </w:r>
      <w:r w:rsidR="002E089D">
        <w:rPr>
          <w:rFonts w:ascii="Arial" w:eastAsia="Times New Roman" w:hAnsi="Arial" w:cs="Arial"/>
          <w:sz w:val="24"/>
          <w:szCs w:val="24"/>
        </w:rPr>
        <w:lastRenderedPageBreak/>
        <w:t>cuarenta y siete minutos cuarenta y cinco segundos oeste, mide ciento setenta y un metros veintisiete milímetros; de aquí a la estación número veinticuatro rumbo astronómico norte cuarenta y ocho grados cero minutos cincuenta y nueve segundos oeste, mide veintiséis metros cuatrocientos ochenta milímetros; y de aquí a la estación veintitrés punto uno hasta llegar al punto de partida y cerrar el perímetro, rumbo astronómico norte cuarenta y ocho grados veintisiete minutos cincuenta y nueve segundos oeste, mide noventa y seis metros ochenta y dos centímetros; y los linderos siguientes: al noreste, sureste y noroeste, tierras del tablaje trescientos cuarenta y siete mil uno; y al suroeste, la carretera que va de Tekax a Peto”. I</w:t>
      </w:r>
      <w:r w:rsidR="002E089D" w:rsidRPr="00A758F1">
        <w:rPr>
          <w:rFonts w:ascii="Arial" w:hAnsi="Arial" w:cs="Arial"/>
          <w:sz w:val="24"/>
          <w:szCs w:val="24"/>
        </w:rPr>
        <w:t xml:space="preserve">nscrito </w:t>
      </w:r>
      <w:r w:rsidR="002E089D">
        <w:rPr>
          <w:rFonts w:ascii="Arial" w:hAnsi="Arial" w:cs="Arial"/>
          <w:sz w:val="24"/>
          <w:szCs w:val="24"/>
        </w:rPr>
        <w:t>en</w:t>
      </w:r>
      <w:r w:rsidR="002E089D" w:rsidRPr="00A758F1">
        <w:rPr>
          <w:rFonts w:ascii="Arial" w:hAnsi="Arial" w:cs="Arial"/>
          <w:sz w:val="24"/>
          <w:szCs w:val="24"/>
        </w:rPr>
        <w:t xml:space="preserve"> el </w:t>
      </w:r>
      <w:r w:rsidR="002E089D" w:rsidRPr="00B3371A">
        <w:rPr>
          <w:rFonts w:ascii="Arial" w:hAnsi="Arial" w:cs="Arial"/>
          <w:sz w:val="24"/>
          <w:szCs w:val="24"/>
        </w:rPr>
        <w:t>Registro Público de la Propiedad y del Comercio del Instituto de Seguridad Jurídica Patrimonial del Estado de Yucatán</w:t>
      </w:r>
      <w:r w:rsidR="002E089D">
        <w:rPr>
          <w:rFonts w:ascii="Arial" w:hAnsi="Arial" w:cs="Arial"/>
          <w:sz w:val="24"/>
          <w:szCs w:val="24"/>
        </w:rPr>
        <w:t xml:space="preserve"> con el </w:t>
      </w:r>
      <w:r w:rsidR="002E089D" w:rsidRPr="00A758F1">
        <w:rPr>
          <w:rFonts w:ascii="Arial" w:hAnsi="Arial" w:cs="Arial"/>
          <w:sz w:val="24"/>
          <w:szCs w:val="24"/>
        </w:rPr>
        <w:t xml:space="preserve">folio electrónico </w:t>
      </w:r>
      <w:r w:rsidR="002E089D">
        <w:rPr>
          <w:rFonts w:ascii="Arial" w:hAnsi="Arial" w:cs="Arial"/>
          <w:sz w:val="24"/>
          <w:szCs w:val="24"/>
        </w:rPr>
        <w:t>del predio 310821, bajo el número de inscripción 735621 de fecha 15 de abril del 2005.</w:t>
      </w:r>
    </w:p>
    <w:p w:rsidR="006A0050" w:rsidRPr="00D625A6" w:rsidRDefault="00752FF9" w:rsidP="003F1B3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625A6">
        <w:rPr>
          <w:rFonts w:ascii="Arial" w:hAnsi="Arial" w:cs="Arial"/>
          <w:sz w:val="24"/>
          <w:szCs w:val="24"/>
        </w:rPr>
        <w:t>Por ello, el Poder Ejecutivo, considerando que el acceso a la salud es fundamental para el bienestar de la población</w:t>
      </w:r>
      <w:r w:rsidR="006A0050" w:rsidRPr="00D625A6">
        <w:rPr>
          <w:rFonts w:ascii="Arial" w:hAnsi="Arial" w:cs="Arial"/>
          <w:sz w:val="24"/>
          <w:szCs w:val="24"/>
        </w:rPr>
        <w:t xml:space="preserve">, ha decidido presentar esta iniciativa </w:t>
      </w:r>
      <w:r w:rsidR="00FA473A" w:rsidRPr="00D625A6">
        <w:rPr>
          <w:rFonts w:ascii="Arial" w:hAnsi="Arial" w:cs="Arial"/>
          <w:sz w:val="24"/>
          <w:szCs w:val="24"/>
        </w:rPr>
        <w:t>a</w:t>
      </w:r>
      <w:r w:rsidR="006A0050" w:rsidRPr="00D625A6">
        <w:rPr>
          <w:rFonts w:ascii="Arial" w:hAnsi="Arial" w:cs="Arial"/>
          <w:sz w:val="24"/>
          <w:szCs w:val="24"/>
        </w:rPr>
        <w:t>l Congreso del Estado de Yucatán, para solicitar la autorización de la donación de</w:t>
      </w:r>
      <w:r w:rsidRPr="00D625A6">
        <w:rPr>
          <w:rFonts w:ascii="Arial" w:hAnsi="Arial" w:cs="Arial"/>
          <w:sz w:val="24"/>
          <w:szCs w:val="24"/>
        </w:rPr>
        <w:t>l</w:t>
      </w:r>
      <w:r w:rsidR="006A0050" w:rsidRPr="00D625A6">
        <w:rPr>
          <w:rFonts w:ascii="Arial" w:hAnsi="Arial" w:cs="Arial"/>
          <w:sz w:val="24"/>
          <w:szCs w:val="24"/>
        </w:rPr>
        <w:t xml:space="preserve"> </w:t>
      </w:r>
      <w:r w:rsidRPr="00D625A6">
        <w:rPr>
          <w:rFonts w:ascii="Arial" w:hAnsi="Arial" w:cs="Arial"/>
          <w:sz w:val="24"/>
          <w:szCs w:val="24"/>
        </w:rPr>
        <w:t xml:space="preserve">bien inmueble marcado con </w:t>
      </w:r>
      <w:r w:rsidR="00FA473A" w:rsidRPr="00D625A6">
        <w:rPr>
          <w:rFonts w:ascii="Arial" w:hAnsi="Arial" w:cs="Arial"/>
          <w:sz w:val="24"/>
          <w:szCs w:val="24"/>
        </w:rPr>
        <w:t xml:space="preserve">el </w:t>
      </w:r>
      <w:r w:rsidRPr="00D625A6">
        <w:rPr>
          <w:rFonts w:ascii="Arial" w:hAnsi="Arial" w:cs="Arial"/>
          <w:sz w:val="24"/>
          <w:szCs w:val="24"/>
        </w:rPr>
        <w:t xml:space="preserve">tablaje </w:t>
      </w:r>
      <w:r w:rsidR="00A62B2D" w:rsidRPr="00D625A6">
        <w:rPr>
          <w:rFonts w:ascii="Arial" w:hAnsi="Arial" w:cs="Arial"/>
          <w:sz w:val="24"/>
          <w:szCs w:val="24"/>
        </w:rPr>
        <w:t xml:space="preserve">número 3709 </w:t>
      </w:r>
      <w:r w:rsidRPr="00D625A6">
        <w:rPr>
          <w:rFonts w:ascii="Arial" w:hAnsi="Arial" w:cs="Arial"/>
          <w:sz w:val="24"/>
          <w:szCs w:val="24"/>
        </w:rPr>
        <w:t>descrito</w:t>
      </w:r>
      <w:r w:rsidR="006A0050" w:rsidRPr="00D625A6">
        <w:rPr>
          <w:rFonts w:ascii="Arial" w:hAnsi="Arial" w:cs="Arial"/>
          <w:sz w:val="24"/>
          <w:szCs w:val="24"/>
        </w:rPr>
        <w:t xml:space="preserve"> en la presente iniciativa al </w:t>
      </w:r>
      <w:r w:rsidRPr="00D625A6">
        <w:rPr>
          <w:rFonts w:ascii="Arial" w:hAnsi="Arial" w:cs="Arial"/>
          <w:sz w:val="24"/>
          <w:szCs w:val="24"/>
        </w:rPr>
        <w:t>Instituto de Salud para el Bienestar</w:t>
      </w:r>
      <w:r w:rsidR="006A0050" w:rsidRPr="00D625A6">
        <w:rPr>
          <w:rFonts w:ascii="Arial" w:hAnsi="Arial" w:cs="Arial"/>
          <w:sz w:val="24"/>
          <w:szCs w:val="24"/>
        </w:rPr>
        <w:t xml:space="preserve">, a efecto de </w:t>
      </w:r>
      <w:r w:rsidR="00636C2D" w:rsidRPr="00D625A6">
        <w:rPr>
          <w:rFonts w:ascii="Arial" w:hAnsi="Arial" w:cs="Arial"/>
          <w:sz w:val="24"/>
          <w:szCs w:val="24"/>
        </w:rPr>
        <w:t xml:space="preserve">que </w:t>
      </w:r>
      <w:r w:rsidR="00F82C28" w:rsidRPr="00D625A6">
        <w:rPr>
          <w:rFonts w:ascii="Arial" w:hAnsi="Arial" w:cs="Arial"/>
          <w:sz w:val="24"/>
          <w:szCs w:val="24"/>
        </w:rPr>
        <w:t>dicha</w:t>
      </w:r>
      <w:r w:rsidR="00636C2D" w:rsidRPr="00D625A6">
        <w:rPr>
          <w:rFonts w:ascii="Arial" w:hAnsi="Arial" w:cs="Arial"/>
          <w:sz w:val="24"/>
          <w:szCs w:val="24"/>
        </w:rPr>
        <w:t xml:space="preserve"> institución </w:t>
      </w:r>
      <w:r w:rsidR="00FA473A" w:rsidRPr="00D625A6">
        <w:rPr>
          <w:rFonts w:ascii="Arial" w:hAnsi="Arial" w:cs="Arial"/>
          <w:sz w:val="24"/>
          <w:szCs w:val="24"/>
        </w:rPr>
        <w:t xml:space="preserve">asuma, de conformidad con sus facultades, </w:t>
      </w:r>
      <w:r w:rsidR="00636C2D" w:rsidRPr="00D625A6">
        <w:rPr>
          <w:rFonts w:ascii="Arial" w:hAnsi="Arial" w:cs="Arial"/>
          <w:sz w:val="24"/>
          <w:szCs w:val="24"/>
        </w:rPr>
        <w:t xml:space="preserve">la </w:t>
      </w:r>
      <w:r w:rsidR="00FA473A" w:rsidRPr="00D625A6">
        <w:rPr>
          <w:rFonts w:ascii="Arial" w:hAnsi="Arial" w:cs="Arial"/>
          <w:sz w:val="24"/>
          <w:szCs w:val="24"/>
        </w:rPr>
        <w:t>organización, operación y supervisión</w:t>
      </w:r>
      <w:r w:rsidR="00636C2D" w:rsidRPr="00D625A6">
        <w:rPr>
          <w:rFonts w:ascii="Arial" w:hAnsi="Arial" w:cs="Arial"/>
          <w:sz w:val="24"/>
          <w:szCs w:val="24"/>
        </w:rPr>
        <w:t xml:space="preserve"> </w:t>
      </w:r>
      <w:r w:rsidR="00FA473A" w:rsidRPr="00D625A6">
        <w:rPr>
          <w:rFonts w:ascii="Arial" w:hAnsi="Arial" w:cs="Arial"/>
          <w:sz w:val="24"/>
          <w:szCs w:val="24"/>
        </w:rPr>
        <w:t xml:space="preserve">de </w:t>
      </w:r>
      <w:r w:rsidR="00636C2D" w:rsidRPr="00D625A6">
        <w:rPr>
          <w:rFonts w:ascii="Arial" w:hAnsi="Arial" w:cs="Arial"/>
          <w:sz w:val="24"/>
          <w:szCs w:val="24"/>
        </w:rPr>
        <w:t xml:space="preserve">la prestación gratuita de servicios de salud, medicamentos y demás insumos asociados para las personas sin seguridad social correspondientes al primer y segundo nivel de atención. </w:t>
      </w:r>
    </w:p>
    <w:p w:rsidR="00772401" w:rsidRPr="00A62C2F" w:rsidRDefault="006A0050" w:rsidP="0077240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625A6">
        <w:rPr>
          <w:rFonts w:ascii="Arial" w:hAnsi="Arial" w:cs="Arial"/>
          <w:sz w:val="24"/>
          <w:szCs w:val="24"/>
        </w:rPr>
        <w:t xml:space="preserve">En virtud de lo expuesto, </w:t>
      </w:r>
      <w:r w:rsidR="00772401" w:rsidRPr="00C00816">
        <w:rPr>
          <w:rFonts w:ascii="Arial" w:hAnsi="Arial" w:cs="Arial"/>
          <w:sz w:val="24"/>
          <w:szCs w:val="24"/>
        </w:rPr>
        <w:t xml:space="preserve">y en ejercicio de las facultades que me confieren los artículos 35, fracción II, y </w:t>
      </w:r>
      <w:r w:rsidR="00772401" w:rsidRPr="00C00816">
        <w:rPr>
          <w:rFonts w:ascii="Arial" w:hAnsi="Arial" w:cs="Arial"/>
          <w:sz w:val="24"/>
          <w:szCs w:val="24"/>
          <w:lang w:val="es-ES"/>
        </w:rPr>
        <w:t xml:space="preserve">56, fracción I, </w:t>
      </w:r>
      <w:r w:rsidR="00772401" w:rsidRPr="00C00816">
        <w:rPr>
          <w:rFonts w:ascii="Arial" w:hAnsi="Arial" w:cs="Arial"/>
          <w:sz w:val="24"/>
          <w:szCs w:val="24"/>
        </w:rPr>
        <w:t xml:space="preserve">de la Constitución Política del Estado de Yucatán, y </w:t>
      </w:r>
      <w:r w:rsidR="00772401" w:rsidRPr="00C00816">
        <w:rPr>
          <w:rFonts w:ascii="Arial" w:hAnsi="Arial" w:cs="Arial"/>
          <w:sz w:val="24"/>
          <w:szCs w:val="24"/>
          <w:lang w:val="es-ES"/>
        </w:rPr>
        <w:t>18 del Código de</w:t>
      </w:r>
      <w:r w:rsidR="00772401">
        <w:rPr>
          <w:rFonts w:ascii="Arial" w:hAnsi="Arial" w:cs="Arial"/>
          <w:sz w:val="24"/>
          <w:szCs w:val="24"/>
          <w:lang w:val="es-ES"/>
        </w:rPr>
        <w:t xml:space="preserve"> la Administración Pública de Yucatán, </w:t>
      </w:r>
      <w:r w:rsidR="00772401">
        <w:rPr>
          <w:rFonts w:ascii="Arial" w:hAnsi="Arial" w:cs="Arial"/>
          <w:sz w:val="24"/>
          <w:szCs w:val="24"/>
        </w:rPr>
        <w:t>someto a su consideración la siguiente:</w:t>
      </w:r>
    </w:p>
    <w:p w:rsidR="00E92C4C" w:rsidRPr="00D625A6" w:rsidRDefault="00E92C4C" w:rsidP="00E42FC7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25A6">
        <w:rPr>
          <w:rFonts w:ascii="Arial" w:hAnsi="Arial" w:cs="Arial"/>
          <w:b/>
          <w:sz w:val="24"/>
          <w:szCs w:val="24"/>
        </w:rPr>
        <w:t>Iniciativa de Decreto por el que se autoriza la donación de un bien inmueble del patrimonio estatal a favor del Instituto de Salud para el Bienestar</w:t>
      </w:r>
    </w:p>
    <w:p w:rsidR="006A0050" w:rsidRPr="00D625A6" w:rsidRDefault="006A0050" w:rsidP="00E42FC7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D625A6">
        <w:rPr>
          <w:rFonts w:ascii="Arial" w:hAnsi="Arial" w:cs="Arial"/>
          <w:b/>
          <w:sz w:val="24"/>
          <w:szCs w:val="24"/>
        </w:rPr>
        <w:t>Artículo único. Donación</w:t>
      </w:r>
    </w:p>
    <w:p w:rsidR="006A0050" w:rsidRPr="00D625A6" w:rsidRDefault="006A0050" w:rsidP="00E42FC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625A6">
        <w:rPr>
          <w:rFonts w:ascii="Arial" w:hAnsi="Arial" w:cs="Arial"/>
          <w:sz w:val="24"/>
          <w:szCs w:val="24"/>
        </w:rPr>
        <w:t>Se autoriza al Gobierno del Estado de Yucatán, para los efectos públicos correspondientes, la donación</w:t>
      </w:r>
      <w:r w:rsidR="00C223AD" w:rsidRPr="00D625A6">
        <w:rPr>
          <w:rFonts w:ascii="Arial" w:hAnsi="Arial" w:cs="Arial"/>
          <w:sz w:val="24"/>
          <w:szCs w:val="24"/>
        </w:rPr>
        <w:t>,</w:t>
      </w:r>
      <w:r w:rsidRPr="00D625A6">
        <w:rPr>
          <w:rFonts w:ascii="Arial" w:hAnsi="Arial" w:cs="Arial"/>
          <w:sz w:val="24"/>
          <w:szCs w:val="24"/>
        </w:rPr>
        <w:t xml:space="preserve"> a favor del </w:t>
      </w:r>
      <w:r w:rsidR="00E92C4C" w:rsidRPr="00D625A6">
        <w:rPr>
          <w:rFonts w:ascii="Arial" w:hAnsi="Arial" w:cs="Arial"/>
          <w:sz w:val="24"/>
          <w:szCs w:val="24"/>
        </w:rPr>
        <w:t>Instituto de Salud para el Bienestar, del siguiente bien inmueble</w:t>
      </w:r>
      <w:r w:rsidRPr="00D625A6">
        <w:rPr>
          <w:rFonts w:ascii="Arial" w:hAnsi="Arial" w:cs="Arial"/>
          <w:sz w:val="24"/>
          <w:szCs w:val="24"/>
        </w:rPr>
        <w:t xml:space="preserve"> del patrimonio estatal:</w:t>
      </w:r>
    </w:p>
    <w:p w:rsidR="00E357D3" w:rsidRDefault="00E357D3" w:rsidP="00E357D3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Tablaje ubicado en la localidad y municipio de Tekax, marcado con el número Tres mil setecientos nueve, con una superficie de dos hectáreas diez áreas setenta y siete centiáreas setenta y tres milésimas de centiáreas, de figura irregular, que se </w:t>
      </w:r>
      <w:r>
        <w:rPr>
          <w:rFonts w:ascii="Arial" w:eastAsia="Times New Roman" w:hAnsi="Arial" w:cs="Arial"/>
          <w:sz w:val="24"/>
          <w:szCs w:val="24"/>
        </w:rPr>
        <w:lastRenderedPageBreak/>
        <w:t>describe como sigue en el plano global: partiendo de la estación número veintitrés punto uno hacia la estación número veintitrés punto dos rumbo astronómico norte cuarenta y un grados cuarenta y siete minutos cincuenta y cinco segundos este, mide ciento setenta y un metros setenta y siete centímetros; de aquí a la estación número veintitrés punto tres rumbo astronómico sur cuarenta y ocho grados veintidós minutos trece segundos este, mide ciento veintitrés metros trescientos dos milímetros; de aquí a la estación número veinticuatro punto uno rumbo astronómico sur cuarenta y un grados cuarenta y siete minutos cuarenta y cinco segundos oeste, mide ciento setenta y un metros veintisiete milímetros; de aquí a la estación número veinticuatro rumbo astronómico norte cuarenta y ocho grados cero minutos cincuenta y nueve segundos oeste, mide veintiséis metros cuatrocientos ochenta milímetros; y de aquí a la estación veintitrés punto uno hasta llegar al punto de partida y cerrar el perímetro, rumbo astronómico norte cuarenta y ocho grados veintisiete minutos cincuenta y nueve segundos oeste, mide noventa y seis metros ochenta y dos centímetros; y los linderos siguientes: al noreste, sureste y noroeste, tierras del tablaje trescientos cuarenta y siete mil uno; y al suroeste, la carretera que va de Tekax a Peto”. I</w:t>
      </w:r>
      <w:r w:rsidRPr="00A758F1">
        <w:rPr>
          <w:rFonts w:ascii="Arial" w:hAnsi="Arial" w:cs="Arial"/>
          <w:sz w:val="24"/>
          <w:szCs w:val="24"/>
        </w:rPr>
        <w:t xml:space="preserve">nscrito </w:t>
      </w:r>
      <w:r>
        <w:rPr>
          <w:rFonts w:ascii="Arial" w:hAnsi="Arial" w:cs="Arial"/>
          <w:sz w:val="24"/>
          <w:szCs w:val="24"/>
        </w:rPr>
        <w:t>en</w:t>
      </w:r>
      <w:r w:rsidRPr="00A758F1">
        <w:rPr>
          <w:rFonts w:ascii="Arial" w:hAnsi="Arial" w:cs="Arial"/>
          <w:sz w:val="24"/>
          <w:szCs w:val="24"/>
        </w:rPr>
        <w:t xml:space="preserve"> el </w:t>
      </w:r>
      <w:r w:rsidRPr="00B3371A">
        <w:rPr>
          <w:rFonts w:ascii="Arial" w:hAnsi="Arial" w:cs="Arial"/>
          <w:sz w:val="24"/>
          <w:szCs w:val="24"/>
        </w:rPr>
        <w:t>Registro Público de la Propiedad y del Comercio del Instituto de Seguridad Jurídica Patrimonial del Estado de Yucatán</w:t>
      </w:r>
      <w:r>
        <w:rPr>
          <w:rFonts w:ascii="Arial" w:hAnsi="Arial" w:cs="Arial"/>
          <w:sz w:val="24"/>
          <w:szCs w:val="24"/>
        </w:rPr>
        <w:t xml:space="preserve"> con el </w:t>
      </w:r>
      <w:r w:rsidRPr="00A758F1">
        <w:rPr>
          <w:rFonts w:ascii="Arial" w:hAnsi="Arial" w:cs="Arial"/>
          <w:sz w:val="24"/>
          <w:szCs w:val="24"/>
        </w:rPr>
        <w:t xml:space="preserve">folio electrónico </w:t>
      </w:r>
      <w:r>
        <w:rPr>
          <w:rFonts w:ascii="Arial" w:hAnsi="Arial" w:cs="Arial"/>
          <w:sz w:val="24"/>
          <w:szCs w:val="24"/>
        </w:rPr>
        <w:t>del predio 310821, bajo el número de inscripción 735621 de fecha 15 de abril del 2005.</w:t>
      </w:r>
    </w:p>
    <w:p w:rsidR="006A0050" w:rsidRPr="00D625A6" w:rsidRDefault="00BC5CA8" w:rsidP="00E42FC7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720090</wp:posOffset>
                </wp:positionV>
                <wp:extent cx="2983230" cy="7048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89D" w:rsidRPr="002E089D" w:rsidRDefault="002E089D" w:rsidP="002E089D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08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Esta hoja de firmas forma parte </w:t>
                            </w:r>
                            <w:r w:rsidRPr="002E08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la Iniciativa de Decreto por el que se autoriza la donación de un bien inmueble del patrimonio estatal a favor del Instituto de Salud para el Bienestar.</w:t>
                            </w:r>
                          </w:p>
                          <w:p w:rsidR="002E089D" w:rsidRPr="004610D9" w:rsidRDefault="002E089D" w:rsidP="002E089D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E089D" w:rsidRPr="004610D9" w:rsidRDefault="002E089D" w:rsidP="002E089D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3.7pt;margin-top:56.7pt;width:234.9pt;height:55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DI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" stroked="f">
                <v:textbox>
                  <w:txbxContent>
                    <w:p w:rsidR="002E089D" w:rsidRPr="002E089D" w:rsidRDefault="002E089D" w:rsidP="002E089D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089D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Esta hoja de firmas forma parte </w:t>
                      </w:r>
                      <w:r w:rsidRPr="002E089D">
                        <w:rPr>
                          <w:rFonts w:ascii="Arial" w:hAnsi="Arial" w:cs="Arial"/>
                          <w:sz w:val="20"/>
                          <w:szCs w:val="20"/>
                        </w:rPr>
                        <w:t>de la Iniciativa de Decreto por el que se autoriza la donación de un bien inmueble del patrimonio estatal a favor del Instituto de Salud para el Bienestar.</w:t>
                      </w:r>
                    </w:p>
                    <w:p w:rsidR="002E089D" w:rsidRPr="004610D9" w:rsidRDefault="002E089D" w:rsidP="002E089D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E089D" w:rsidRPr="004610D9" w:rsidRDefault="002E089D" w:rsidP="002E089D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92C4C" w:rsidRPr="00D625A6">
        <w:rPr>
          <w:rFonts w:ascii="Arial" w:hAnsi="Arial" w:cs="Arial"/>
          <w:b/>
          <w:sz w:val="24"/>
          <w:szCs w:val="24"/>
        </w:rPr>
        <w:t>Artículo transitorio</w:t>
      </w:r>
    </w:p>
    <w:p w:rsidR="006A0050" w:rsidRPr="00D625A6" w:rsidRDefault="00E92C4C" w:rsidP="006A0050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D625A6">
        <w:rPr>
          <w:rFonts w:ascii="Arial" w:hAnsi="Arial" w:cs="Arial"/>
          <w:b/>
          <w:sz w:val="24"/>
          <w:szCs w:val="24"/>
        </w:rPr>
        <w:t>Único</w:t>
      </w:r>
      <w:r w:rsidR="006A0050" w:rsidRPr="00D625A6">
        <w:rPr>
          <w:rFonts w:ascii="Arial" w:hAnsi="Arial" w:cs="Arial"/>
          <w:b/>
          <w:sz w:val="24"/>
          <w:szCs w:val="24"/>
        </w:rPr>
        <w:t>. Entrada en vigor</w:t>
      </w:r>
    </w:p>
    <w:p w:rsidR="006A0050" w:rsidRPr="00D625A6" w:rsidRDefault="006A0050" w:rsidP="00E42FC7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D625A6">
        <w:rPr>
          <w:rFonts w:ascii="Arial" w:hAnsi="Arial" w:cs="Arial"/>
          <w:sz w:val="24"/>
          <w:szCs w:val="24"/>
        </w:rPr>
        <w:t>Este decreto entrará en vigor el día siguiente al de su publicación en el Diario Oficial del Gobierno del Estado de Yucatán.</w:t>
      </w:r>
    </w:p>
    <w:p w:rsidR="006A0050" w:rsidRPr="00D625A6" w:rsidRDefault="006A0050" w:rsidP="006A005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25A6">
        <w:rPr>
          <w:rFonts w:ascii="Arial" w:hAnsi="Arial" w:cs="Arial"/>
          <w:b/>
          <w:sz w:val="24"/>
          <w:szCs w:val="24"/>
        </w:rPr>
        <w:t>Atentamente</w:t>
      </w:r>
    </w:p>
    <w:p w:rsidR="006A0050" w:rsidRPr="00D625A6" w:rsidRDefault="006A0050" w:rsidP="006A005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2401" w:rsidRPr="007D55DE" w:rsidRDefault="00772401" w:rsidP="00772401">
      <w:pPr>
        <w:adjustRightInd w:val="0"/>
        <w:spacing w:after="0" w:line="240" w:lineRule="auto"/>
        <w:ind w:left="1701" w:right="1752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7D55DE">
        <w:rPr>
          <w:rFonts w:ascii="Arial" w:hAnsi="Arial" w:cs="Arial"/>
          <w:b/>
          <w:bCs/>
          <w:sz w:val="24"/>
          <w:szCs w:val="24"/>
          <w:lang w:val="es-ES"/>
        </w:rPr>
        <w:t>Abog. María Dolores Fritz Sierra</w:t>
      </w:r>
    </w:p>
    <w:p w:rsidR="00772401" w:rsidRDefault="00772401" w:rsidP="00772401">
      <w:pPr>
        <w:adjustRightInd w:val="0"/>
        <w:spacing w:after="0" w:line="240" w:lineRule="auto"/>
        <w:ind w:left="1701" w:right="1752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7D55DE">
        <w:rPr>
          <w:rFonts w:ascii="Arial" w:hAnsi="Arial" w:cs="Arial"/>
          <w:b/>
          <w:bCs/>
          <w:sz w:val="24"/>
          <w:szCs w:val="24"/>
          <w:lang w:val="es-ES"/>
        </w:rPr>
        <w:t xml:space="preserve">Secretaria general de Gobierno, encargada del Despacho del Gobernador, conforme a los artículos 56, fracción I, </w:t>
      </w:r>
      <w:r w:rsidRPr="00772401">
        <w:rPr>
          <w:rFonts w:ascii="Arial" w:hAnsi="Arial" w:cs="Arial"/>
          <w:b/>
          <w:bCs/>
          <w:sz w:val="24"/>
          <w:szCs w:val="24"/>
          <w:lang w:val="es-ES"/>
        </w:rPr>
        <w:t>de la Constitución Política del Estado de Yucatán</w:t>
      </w:r>
      <w:r w:rsidRPr="007D55DE">
        <w:rPr>
          <w:rFonts w:ascii="Arial" w:hAnsi="Arial" w:cs="Arial"/>
          <w:b/>
          <w:bCs/>
          <w:sz w:val="24"/>
          <w:szCs w:val="24"/>
          <w:lang w:val="es-ES"/>
        </w:rPr>
        <w:t xml:space="preserve"> y 18 del Código de la Administración Pública de Yucatán</w:t>
      </w:r>
    </w:p>
    <w:p w:rsidR="00772401" w:rsidRDefault="00772401" w:rsidP="00772401">
      <w:pPr>
        <w:adjustRightInd w:val="0"/>
        <w:spacing w:line="240" w:lineRule="auto"/>
        <w:ind w:left="1701" w:right="1752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772401" w:rsidRDefault="00772401" w:rsidP="00772401">
      <w:pPr>
        <w:adjustRightInd w:val="0"/>
        <w:spacing w:line="240" w:lineRule="auto"/>
        <w:ind w:left="1701" w:right="1752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772401" w:rsidRDefault="00772401" w:rsidP="00772401">
      <w:pPr>
        <w:adjustRightInd w:val="0"/>
        <w:spacing w:line="240" w:lineRule="auto"/>
        <w:ind w:left="1701" w:right="1752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5974F0" w:rsidRDefault="005974F0" w:rsidP="00772401">
      <w:pPr>
        <w:adjustRightInd w:val="0"/>
        <w:spacing w:line="240" w:lineRule="auto"/>
        <w:ind w:left="1701" w:right="1752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5974F0" w:rsidRPr="00AB2692" w:rsidRDefault="005974F0" w:rsidP="00772401">
      <w:pPr>
        <w:adjustRightInd w:val="0"/>
        <w:spacing w:line="240" w:lineRule="auto"/>
        <w:ind w:left="1701" w:right="1752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772401" w:rsidRPr="007D55DE" w:rsidRDefault="00772401" w:rsidP="00772401">
      <w:pPr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7D55DE">
        <w:rPr>
          <w:rFonts w:ascii="Arial" w:hAnsi="Arial" w:cs="Arial"/>
          <w:b/>
          <w:bCs/>
          <w:sz w:val="24"/>
          <w:szCs w:val="24"/>
          <w:lang w:val="es-ES"/>
        </w:rPr>
        <w:t>Lic. Olga Rosas Moya</w:t>
      </w:r>
    </w:p>
    <w:p w:rsidR="00772401" w:rsidRPr="00AB2692" w:rsidRDefault="00BC5CA8" w:rsidP="00772401">
      <w:pPr>
        <w:adjustRightInd w:val="0"/>
        <w:spacing w:after="0" w:line="240" w:lineRule="auto"/>
        <w:ind w:right="3876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2781300</wp:posOffset>
                </wp:positionH>
                <wp:positionV relativeFrom="page">
                  <wp:posOffset>872490</wp:posOffset>
                </wp:positionV>
                <wp:extent cx="2983230" cy="7048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401" w:rsidRPr="002E089D" w:rsidRDefault="00772401" w:rsidP="00772401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089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Esta hoja de firmas forma parte </w:t>
                            </w:r>
                            <w:r w:rsidRPr="002E08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la Iniciativa de Decreto por el que se autoriza la donación de un bien inmueble del patrimonio estatal a favor del Instituto de Salud para el Bienestar.</w:t>
                            </w:r>
                          </w:p>
                          <w:p w:rsidR="00772401" w:rsidRPr="004610D9" w:rsidRDefault="00772401" w:rsidP="00772401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72401" w:rsidRPr="004610D9" w:rsidRDefault="00772401" w:rsidP="00772401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9pt;margin-top:68.7pt;width:234.9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gihwIAABY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" stroked="f">
                <v:textbox>
                  <w:txbxContent>
                    <w:p w:rsidR="00772401" w:rsidRPr="002E089D" w:rsidRDefault="00772401" w:rsidP="00772401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089D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Esta hoja de firmas forma parte </w:t>
                      </w:r>
                      <w:r w:rsidRPr="002E089D">
                        <w:rPr>
                          <w:rFonts w:ascii="Arial" w:hAnsi="Arial" w:cs="Arial"/>
                          <w:sz w:val="20"/>
                          <w:szCs w:val="20"/>
                        </w:rPr>
                        <w:t>de la Iniciativa de Decreto por el que se autoriza la donación de un bien inmueble del patrimonio estatal a favor del Instituto de Salud para el Bienestar.</w:t>
                      </w:r>
                    </w:p>
                    <w:p w:rsidR="00772401" w:rsidRPr="004610D9" w:rsidRDefault="00772401" w:rsidP="00772401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72401" w:rsidRPr="004610D9" w:rsidRDefault="00772401" w:rsidP="00772401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72401" w:rsidRPr="007D55DE">
        <w:rPr>
          <w:rFonts w:ascii="Arial" w:hAnsi="Arial" w:cs="Arial"/>
          <w:b/>
          <w:bCs/>
          <w:sz w:val="24"/>
          <w:szCs w:val="24"/>
          <w:lang w:val="es-ES"/>
        </w:rPr>
        <w:t xml:space="preserve">Secretaria de Administración y Finanzas en </w:t>
      </w:r>
      <w:r w:rsidR="00772401">
        <w:rPr>
          <w:rFonts w:ascii="Arial" w:hAnsi="Arial" w:cs="Arial"/>
          <w:b/>
          <w:bCs/>
          <w:sz w:val="24"/>
          <w:szCs w:val="24"/>
          <w:lang w:val="es-ES"/>
        </w:rPr>
        <w:t xml:space="preserve">ejercicio de las </w:t>
      </w:r>
      <w:r w:rsidR="00772401" w:rsidRPr="007D55DE">
        <w:rPr>
          <w:rFonts w:ascii="Arial" w:hAnsi="Arial" w:cs="Arial"/>
          <w:b/>
          <w:bCs/>
          <w:sz w:val="24"/>
          <w:szCs w:val="24"/>
          <w:lang w:val="es-ES"/>
        </w:rPr>
        <w:t xml:space="preserve">funciones </w:t>
      </w:r>
      <w:r w:rsidR="00772401">
        <w:rPr>
          <w:rFonts w:ascii="Arial" w:hAnsi="Arial" w:cs="Arial"/>
          <w:b/>
          <w:bCs/>
          <w:sz w:val="24"/>
          <w:szCs w:val="24"/>
          <w:lang w:val="es-ES"/>
        </w:rPr>
        <w:t>que le corresponden a la</w:t>
      </w:r>
      <w:r w:rsidR="00772401" w:rsidRPr="007D55DE">
        <w:rPr>
          <w:rFonts w:ascii="Arial" w:hAnsi="Arial" w:cs="Arial"/>
          <w:b/>
          <w:bCs/>
          <w:sz w:val="24"/>
          <w:szCs w:val="24"/>
          <w:lang w:val="es-ES"/>
        </w:rPr>
        <w:t xml:space="preserve"> secretaria general de Gobierno, conforme al artículo 18 del Código de la Administración Pública de Yucatán</w:t>
      </w:r>
    </w:p>
    <w:p w:rsidR="006A0050" w:rsidRPr="00772401" w:rsidRDefault="006A0050" w:rsidP="00772401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sectPr w:rsidR="006A0050" w:rsidRPr="00772401" w:rsidSect="00DE106F">
      <w:footerReference w:type="default" r:id="rId7"/>
      <w:pgSz w:w="12240" w:h="15840"/>
      <w:pgMar w:top="300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1E" w:rsidRDefault="00503F1E" w:rsidP="0079394C">
      <w:pPr>
        <w:spacing w:after="0" w:line="240" w:lineRule="auto"/>
      </w:pPr>
      <w:r>
        <w:separator/>
      </w:r>
    </w:p>
  </w:endnote>
  <w:endnote w:type="continuationSeparator" w:id="0">
    <w:p w:rsidR="00503F1E" w:rsidRDefault="00503F1E" w:rsidP="0079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31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82C28" w:rsidRDefault="002C3EA7" w:rsidP="002E089D">
        <w:pPr>
          <w:pStyle w:val="Piedepgina"/>
          <w:jc w:val="right"/>
        </w:pPr>
        <w:r w:rsidRPr="0079394C">
          <w:rPr>
            <w:rFonts w:ascii="Arial" w:hAnsi="Arial" w:cs="Arial"/>
            <w:sz w:val="20"/>
            <w:szCs w:val="20"/>
          </w:rPr>
          <w:fldChar w:fldCharType="begin"/>
        </w:r>
        <w:r w:rsidR="00F82C28" w:rsidRPr="0079394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9394C">
          <w:rPr>
            <w:rFonts w:ascii="Arial" w:hAnsi="Arial" w:cs="Arial"/>
            <w:sz w:val="20"/>
            <w:szCs w:val="20"/>
          </w:rPr>
          <w:fldChar w:fldCharType="separate"/>
        </w:r>
        <w:r w:rsidR="00BC5CA8">
          <w:rPr>
            <w:rFonts w:ascii="Arial" w:hAnsi="Arial" w:cs="Arial"/>
            <w:noProof/>
            <w:sz w:val="20"/>
            <w:szCs w:val="20"/>
          </w:rPr>
          <w:t>1</w:t>
        </w:r>
        <w:r w:rsidRPr="0079394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1E" w:rsidRDefault="00503F1E" w:rsidP="0079394C">
      <w:pPr>
        <w:spacing w:after="0" w:line="240" w:lineRule="auto"/>
      </w:pPr>
      <w:r>
        <w:separator/>
      </w:r>
    </w:p>
  </w:footnote>
  <w:footnote w:type="continuationSeparator" w:id="0">
    <w:p w:rsidR="00503F1E" w:rsidRDefault="00503F1E" w:rsidP="00793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F9"/>
    <w:rsid w:val="0004756B"/>
    <w:rsid w:val="000761FC"/>
    <w:rsid w:val="00080F03"/>
    <w:rsid w:val="000D0B98"/>
    <w:rsid w:val="00101FFB"/>
    <w:rsid w:val="001565F3"/>
    <w:rsid w:val="00170500"/>
    <w:rsid w:val="0018103A"/>
    <w:rsid w:val="001B14FD"/>
    <w:rsid w:val="00213457"/>
    <w:rsid w:val="00215DEA"/>
    <w:rsid w:val="00225EAF"/>
    <w:rsid w:val="002332A2"/>
    <w:rsid w:val="00266ABE"/>
    <w:rsid w:val="002930EE"/>
    <w:rsid w:val="002A0983"/>
    <w:rsid w:val="002B4317"/>
    <w:rsid w:val="002C3EA7"/>
    <w:rsid w:val="002E089D"/>
    <w:rsid w:val="00302299"/>
    <w:rsid w:val="0034182C"/>
    <w:rsid w:val="003A5BA0"/>
    <w:rsid w:val="003A63E5"/>
    <w:rsid w:val="003B28F3"/>
    <w:rsid w:val="003B49A6"/>
    <w:rsid w:val="003D37B6"/>
    <w:rsid w:val="003F1B35"/>
    <w:rsid w:val="003F60A2"/>
    <w:rsid w:val="004903E4"/>
    <w:rsid w:val="004F199D"/>
    <w:rsid w:val="00503F1E"/>
    <w:rsid w:val="00553445"/>
    <w:rsid w:val="005974F0"/>
    <w:rsid w:val="005B1DCA"/>
    <w:rsid w:val="005F26B6"/>
    <w:rsid w:val="005F2F54"/>
    <w:rsid w:val="00616716"/>
    <w:rsid w:val="00633003"/>
    <w:rsid w:val="00636C2D"/>
    <w:rsid w:val="006377AE"/>
    <w:rsid w:val="0064550F"/>
    <w:rsid w:val="006A0050"/>
    <w:rsid w:val="006A60FE"/>
    <w:rsid w:val="006B312D"/>
    <w:rsid w:val="006F5195"/>
    <w:rsid w:val="006F5858"/>
    <w:rsid w:val="007024C6"/>
    <w:rsid w:val="00746CA1"/>
    <w:rsid w:val="0075086A"/>
    <w:rsid w:val="00752FF9"/>
    <w:rsid w:val="00772401"/>
    <w:rsid w:val="00783442"/>
    <w:rsid w:val="0079394C"/>
    <w:rsid w:val="007F6EF3"/>
    <w:rsid w:val="007F6F38"/>
    <w:rsid w:val="008034F5"/>
    <w:rsid w:val="008562F9"/>
    <w:rsid w:val="008613B1"/>
    <w:rsid w:val="00870E98"/>
    <w:rsid w:val="008C0908"/>
    <w:rsid w:val="008F79A8"/>
    <w:rsid w:val="009072CA"/>
    <w:rsid w:val="0091238E"/>
    <w:rsid w:val="00A37E35"/>
    <w:rsid w:val="00A454AF"/>
    <w:rsid w:val="00A62B2D"/>
    <w:rsid w:val="00A674FE"/>
    <w:rsid w:val="00AA1EC4"/>
    <w:rsid w:val="00AB2F9F"/>
    <w:rsid w:val="00AD3F13"/>
    <w:rsid w:val="00AF380F"/>
    <w:rsid w:val="00B12B8C"/>
    <w:rsid w:val="00B66EC4"/>
    <w:rsid w:val="00BC5CA8"/>
    <w:rsid w:val="00C223AD"/>
    <w:rsid w:val="00C752C2"/>
    <w:rsid w:val="00C82D14"/>
    <w:rsid w:val="00C91D0A"/>
    <w:rsid w:val="00D52837"/>
    <w:rsid w:val="00D625A6"/>
    <w:rsid w:val="00DD4310"/>
    <w:rsid w:val="00DE106F"/>
    <w:rsid w:val="00E357D3"/>
    <w:rsid w:val="00E35F37"/>
    <w:rsid w:val="00E37730"/>
    <w:rsid w:val="00E42FC7"/>
    <w:rsid w:val="00E92C4C"/>
    <w:rsid w:val="00F622B8"/>
    <w:rsid w:val="00F82C28"/>
    <w:rsid w:val="00FA473A"/>
    <w:rsid w:val="00FC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38E4D5-FFFD-469B-831A-70C97547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0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6F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6F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6F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6F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6F3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F3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93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394C"/>
  </w:style>
  <w:style w:type="paragraph" w:styleId="Piedepgina">
    <w:name w:val="footer"/>
    <w:basedOn w:val="Normal"/>
    <w:link w:val="PiedepginaCar"/>
    <w:uiPriority w:val="99"/>
    <w:unhideWhenUsed/>
    <w:rsid w:val="00793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EFDA0-C222-43FB-85E7-B20BB5B9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lida.arrigunaga</dc:creator>
  <cp:lastModifiedBy>Mildred Manzanilla</cp:lastModifiedBy>
  <cp:revision>2</cp:revision>
  <cp:lastPrinted>2022-11-17T18:27:00Z</cp:lastPrinted>
  <dcterms:created xsi:type="dcterms:W3CDTF">2022-12-01T17:03:00Z</dcterms:created>
  <dcterms:modified xsi:type="dcterms:W3CDTF">2022-12-01T17:03:00Z</dcterms:modified>
</cp:coreProperties>
</file>